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93" w:type="dxa"/>
        <w:tblLook w:val="04A0"/>
      </w:tblPr>
      <w:tblGrid>
        <w:gridCol w:w="980"/>
        <w:gridCol w:w="1000"/>
        <w:gridCol w:w="1100"/>
        <w:gridCol w:w="1920"/>
        <w:gridCol w:w="1320"/>
        <w:gridCol w:w="74"/>
        <w:gridCol w:w="1206"/>
        <w:gridCol w:w="212"/>
        <w:gridCol w:w="848"/>
      </w:tblGrid>
      <w:tr w:rsidR="006163C7" w:rsidRPr="006163C7" w:rsidTr="004A7C2C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63C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附件：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B93DF0" w:rsidRPr="006163C7" w:rsidRDefault="00B93DF0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Pr="006163C7" w:rsidRDefault="006163C7" w:rsidP="006163C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163C7" w:rsidRPr="006163C7" w:rsidTr="004A7C2C">
        <w:trPr>
          <w:trHeight w:val="510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C7" w:rsidRDefault="006163C7" w:rsidP="004F2D3F">
            <w:pPr>
              <w:adjustRightInd/>
              <w:snapToGrid/>
              <w:spacing w:beforeLines="100" w:after="0"/>
              <w:jc w:val="center"/>
              <w:rPr>
                <w:rFonts w:ascii="方正小标宋_GBK" w:eastAsia="方正小标宋_GBK" w:hAnsi="宋体" w:cs="宋体"/>
                <w:color w:val="000000"/>
                <w:sz w:val="40"/>
                <w:szCs w:val="40"/>
              </w:rPr>
            </w:pPr>
            <w:r w:rsidRPr="006163C7">
              <w:rPr>
                <w:rFonts w:ascii="方正小标宋_GBK" w:eastAsia="方正小标宋_GBK" w:hAnsi="宋体" w:cs="宋体" w:hint="eastAsia"/>
                <w:color w:val="000000"/>
                <w:sz w:val="40"/>
                <w:szCs w:val="40"/>
              </w:rPr>
              <w:t>2021年度襄阳铁路运输法院整体绩效自评表</w:t>
            </w:r>
          </w:p>
          <w:p w:rsidR="00B93DF0" w:rsidRPr="00B93DF0" w:rsidRDefault="00B93DF0" w:rsidP="006163C7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color w:val="000000"/>
                <w:sz w:val="24"/>
                <w:szCs w:val="40"/>
              </w:rPr>
            </w:pPr>
          </w:p>
          <w:p w:rsidR="00B93DF0" w:rsidRDefault="00B93DF0" w:rsidP="00B93DF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93DF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填报单位：襄阳铁路运输法院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                填报日期：2022年3月20日</w:t>
            </w:r>
          </w:p>
          <w:p w:rsidR="00B93DF0" w:rsidRPr="00B93DF0" w:rsidRDefault="00B93DF0" w:rsidP="006163C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3DF0" w:rsidRPr="004F2D3F" w:rsidTr="004A7C2C">
        <w:trPr>
          <w:trHeight w:val="74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襄阳铁路运输法院</w:t>
            </w:r>
          </w:p>
        </w:tc>
      </w:tr>
      <w:tr w:rsidR="00B93DF0" w:rsidRPr="004F2D3F" w:rsidTr="004A7C2C">
        <w:trPr>
          <w:trHeight w:val="74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基本支出总额</w:t>
            </w:r>
          </w:p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1024.95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项目支出总额（万元）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366.58</w:t>
            </w:r>
          </w:p>
        </w:tc>
      </w:tr>
      <w:tr w:rsidR="00ED17D6" w:rsidRPr="004F2D3F" w:rsidTr="00ED17D6">
        <w:trPr>
          <w:trHeight w:val="743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预算执行情况</w:t>
            </w:r>
          </w:p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（万元）（20分）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预算数（A)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执行数（B)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执行率(A/B)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得分</w:t>
            </w:r>
          </w:p>
        </w:tc>
      </w:tr>
      <w:tr w:rsidR="00ED17D6" w:rsidRPr="004F2D3F" w:rsidTr="00ED17D6">
        <w:trPr>
          <w:trHeight w:val="743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部门整体支出总额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1642.28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1391.53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84.7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D6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16.9</w:t>
            </w:r>
          </w:p>
        </w:tc>
      </w:tr>
      <w:tr w:rsidR="00B93DF0" w:rsidRPr="004F2D3F" w:rsidTr="004A7C2C">
        <w:trPr>
          <w:trHeight w:val="74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E32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年度目标1</w:t>
            </w:r>
          </w:p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（80分）：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审理一审刑事、民事和执行、国家赔偿案件、行政案件以及化解涉诉信访和群体性事件</w:t>
            </w:r>
          </w:p>
        </w:tc>
      </w:tr>
      <w:tr w:rsidR="00B93DF0" w:rsidRPr="004F2D3F" w:rsidTr="00ED17D6">
        <w:trPr>
          <w:trHeight w:hRule="exact" w:val="42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年度绩效指标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年初目标值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实际完成值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得分</w:t>
            </w:r>
          </w:p>
        </w:tc>
      </w:tr>
      <w:tr w:rsidR="00B93DF0" w:rsidRPr="004F2D3F" w:rsidTr="00ED17D6">
        <w:trPr>
          <w:trHeight w:hRule="exact" w:val="433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案件发回重审率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≤10%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2.1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13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生效案件服判息诉率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91.5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3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法定审限内结案率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</w:t>
            </w:r>
            <w:r w:rsidR="00ED17D6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.0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0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案件质量评查得分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≧95%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</w:t>
            </w:r>
            <w:r w:rsidR="00ED17D6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.0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2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二审改判率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≤10%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1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案均办案成本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较上年度减少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较上年度减少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B93DF0" w:rsidRPr="004F2D3F" w:rsidTr="00ED17D6">
        <w:trPr>
          <w:trHeight w:hRule="exact" w:val="424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各类案件立案率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100.0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41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执行案件实际执结率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≧70%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65.9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4.2</w:t>
            </w:r>
          </w:p>
        </w:tc>
      </w:tr>
      <w:tr w:rsidR="00B93DF0" w:rsidRPr="004F2D3F" w:rsidTr="00ED17D6">
        <w:trPr>
          <w:trHeight w:hRule="exact" w:val="43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各类案件结案率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ED17D6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94.0%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B93DF0" w:rsidRPr="004F2D3F" w:rsidTr="00ED17D6">
        <w:trPr>
          <w:trHeight w:hRule="exact" w:val="556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7D6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满意度</w:t>
            </w:r>
          </w:p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网络信访回复率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100.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B93DF0" w:rsidRPr="004F2D3F" w:rsidTr="00ED17D6">
        <w:trPr>
          <w:trHeight w:hRule="exact" w:val="57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年度绩效指标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保护当事人合法权益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B93DF0" w:rsidRPr="004F2D3F" w:rsidTr="00ED17D6">
        <w:trPr>
          <w:trHeight w:hRule="exact" w:val="572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7D6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满意度</w:t>
            </w:r>
          </w:p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裁判文书上网率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ED17D6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100.0</w:t>
            </w:r>
            <w:r w:rsidR="00B93DF0"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B93DF0" w:rsidRPr="004F2D3F" w:rsidTr="00ED17D6">
        <w:trPr>
          <w:trHeight w:hRule="exact" w:val="56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民事案件调解率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45</w:t>
            </w:r>
            <w:r w:rsidR="00ED17D6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.0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7.5</w:t>
            </w:r>
          </w:p>
        </w:tc>
      </w:tr>
      <w:tr w:rsidR="00B93DF0" w:rsidRPr="004F2D3F" w:rsidTr="00ED17D6">
        <w:trPr>
          <w:trHeight w:val="39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94.1</w:t>
            </w:r>
          </w:p>
        </w:tc>
      </w:tr>
      <w:tr w:rsidR="00B93DF0" w:rsidRPr="004F2D3F" w:rsidTr="004A7C2C">
        <w:trPr>
          <w:trHeight w:val="100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偏差大或目标未完成原因分析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DF0" w:rsidRPr="004F2D3F" w:rsidRDefault="00B93DF0" w:rsidP="00627E32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经费执行率为84.7%，原因是受疫情影响，经费执行率一般；案件基数小，民事案件当事人调解意愿不强，指标值设置略微偏高，调解率较低；案件基数小，进一步解决执行难问题有待加强。</w:t>
            </w:r>
          </w:p>
        </w:tc>
      </w:tr>
      <w:tr w:rsidR="00B93DF0" w:rsidRPr="004F2D3F" w:rsidTr="00627E32">
        <w:trPr>
          <w:trHeight w:val="180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改进措施及结果应用方案</w:t>
            </w:r>
          </w:p>
        </w:tc>
        <w:tc>
          <w:tcPr>
            <w:tcW w:w="6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下一步我院将认真分析造成预算差异的原因，进一步健全和完善财务管理制度及内部控制制度，规范和约束机关理财行为和程序，积极探索在新形势下部门预算、国库集中支付等财政支出改革的特点，不断更新管理思路，在规范财务收支和控制经费增长上，创新管理手段，用新思路、新方法，改进完善财务管理方法。按照财政支出绩效管理的要求，建立科学的财政资金效益考评制度体系，牢固树立行政成本意识，不断提高财政资金使用管理的水平和效率。</w:t>
            </w:r>
          </w:p>
        </w:tc>
      </w:tr>
      <w:tr w:rsidR="00B93DF0" w:rsidRPr="004F2D3F" w:rsidTr="004A7C2C">
        <w:trPr>
          <w:trHeight w:val="743"/>
        </w:trPr>
        <w:tc>
          <w:tcPr>
            <w:tcW w:w="86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备注：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br/>
              <w:t>1.预算执行情况口径：预算数为调整后财政资金总额（包括上年结余结转），执行数为资金使用单位财政资金实际支出数。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br/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br/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 w:rsidRPr="004F2D3F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br/>
              <w:t>4.基于经济性和必要性等因素考虑，满意度指标暂可不作为必评指标。</w:t>
            </w:r>
          </w:p>
        </w:tc>
      </w:tr>
      <w:tr w:rsidR="00B93DF0" w:rsidRPr="004F2D3F" w:rsidTr="004A7C2C">
        <w:trPr>
          <w:trHeight w:val="743"/>
        </w:trPr>
        <w:tc>
          <w:tcPr>
            <w:tcW w:w="86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</w:tr>
      <w:tr w:rsidR="00B93DF0" w:rsidRPr="004F2D3F" w:rsidTr="004A7C2C">
        <w:trPr>
          <w:trHeight w:val="743"/>
        </w:trPr>
        <w:tc>
          <w:tcPr>
            <w:tcW w:w="86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</w:tr>
      <w:tr w:rsidR="00B93DF0" w:rsidRPr="004F2D3F" w:rsidTr="004A7C2C">
        <w:trPr>
          <w:trHeight w:val="743"/>
        </w:trPr>
        <w:tc>
          <w:tcPr>
            <w:tcW w:w="86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3DF0" w:rsidRPr="004F2D3F" w:rsidRDefault="00B93DF0" w:rsidP="006163C7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</w:tc>
      </w:tr>
    </w:tbl>
    <w:p w:rsidR="004358AB" w:rsidRPr="004F2D3F" w:rsidRDefault="004358AB" w:rsidP="00D31D50">
      <w:pPr>
        <w:spacing w:line="220" w:lineRule="atLeast"/>
        <w:rPr>
          <w:rFonts w:asciiTheme="majorEastAsia" w:eastAsiaTheme="majorEastAsia" w:hAnsiTheme="majorEastAsia"/>
          <w:sz w:val="18"/>
          <w:szCs w:val="18"/>
        </w:rPr>
      </w:pPr>
    </w:p>
    <w:p w:rsidR="002F65DC" w:rsidRDefault="002F65DC" w:rsidP="00D31D50">
      <w:pPr>
        <w:spacing w:line="220" w:lineRule="atLeast"/>
      </w:pPr>
    </w:p>
    <w:p w:rsidR="002F65DC" w:rsidRDefault="002F65DC" w:rsidP="00D31D50">
      <w:pPr>
        <w:spacing w:line="220" w:lineRule="atLeast"/>
      </w:pPr>
    </w:p>
    <w:p w:rsidR="002F65DC" w:rsidRDefault="002F65DC" w:rsidP="00D31D50">
      <w:pPr>
        <w:spacing w:line="220" w:lineRule="atLeast"/>
      </w:pPr>
    </w:p>
    <w:p w:rsidR="002F65DC" w:rsidRDefault="002F65DC" w:rsidP="00D31D50">
      <w:pPr>
        <w:spacing w:line="220" w:lineRule="atLeast"/>
      </w:pPr>
    </w:p>
    <w:p w:rsidR="002F65DC" w:rsidRDefault="002F65DC" w:rsidP="00D31D50">
      <w:pPr>
        <w:spacing w:line="220" w:lineRule="atLeast"/>
      </w:pPr>
    </w:p>
    <w:p w:rsidR="002F65DC" w:rsidRDefault="002F65DC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p w:rsidR="00627E32" w:rsidRDefault="00627E32" w:rsidP="00D31D50">
      <w:pPr>
        <w:spacing w:line="220" w:lineRule="atLeast"/>
      </w:pPr>
    </w:p>
    <w:tbl>
      <w:tblPr>
        <w:tblW w:w="8923" w:type="dxa"/>
        <w:tblInd w:w="93" w:type="dxa"/>
        <w:tblLook w:val="04A0"/>
      </w:tblPr>
      <w:tblGrid>
        <w:gridCol w:w="456"/>
        <w:gridCol w:w="1119"/>
        <w:gridCol w:w="1275"/>
        <w:gridCol w:w="113"/>
        <w:gridCol w:w="1131"/>
        <w:gridCol w:w="1047"/>
        <w:gridCol w:w="238"/>
        <w:gridCol w:w="918"/>
        <w:gridCol w:w="500"/>
        <w:gridCol w:w="456"/>
        <w:gridCol w:w="470"/>
        <w:gridCol w:w="208"/>
        <w:gridCol w:w="992"/>
      </w:tblGrid>
      <w:tr w:rsidR="004B16BE" w:rsidRPr="00F2130E" w:rsidTr="004D1E9E">
        <w:trPr>
          <w:trHeight w:val="975"/>
        </w:trPr>
        <w:tc>
          <w:tcPr>
            <w:tcW w:w="2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13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附件：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A834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16BE" w:rsidRPr="00F2130E" w:rsidTr="004D1E9E">
        <w:trPr>
          <w:trHeight w:val="525"/>
        </w:trPr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Pr="00F2130E" w:rsidRDefault="004B16BE" w:rsidP="0072536E">
            <w:pPr>
              <w:adjustRightInd/>
              <w:snapToGrid/>
              <w:spacing w:after="0"/>
              <w:rPr>
                <w:rFonts w:ascii="方正小标宋_GBK" w:eastAsia="方正小标宋_GBK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sz w:val="40"/>
                <w:szCs w:val="40"/>
              </w:rPr>
              <w:t xml:space="preserve">  </w:t>
            </w:r>
            <w:r w:rsidRPr="00F2130E">
              <w:rPr>
                <w:rFonts w:ascii="方正小标宋_GBK" w:eastAsia="方正小标宋_GBK" w:hAnsi="宋体" w:cs="宋体" w:hint="eastAsia"/>
                <w:color w:val="000000"/>
                <w:sz w:val="40"/>
                <w:szCs w:val="40"/>
              </w:rPr>
              <w:t>2021年度办案业务专项经费项目绩效自评表</w:t>
            </w:r>
          </w:p>
        </w:tc>
      </w:tr>
      <w:tr w:rsidR="004B16BE" w:rsidRPr="00F2130E" w:rsidTr="004D1E9E">
        <w:trPr>
          <w:trHeight w:val="525"/>
        </w:trPr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6BE" w:rsidRDefault="004B16BE" w:rsidP="004B16BE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4B16BE" w:rsidRDefault="004B16BE" w:rsidP="004B16BE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4B16B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填报单位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：襄阳铁路运输法院                  填报日期：2022年3月20日</w:t>
            </w:r>
          </w:p>
          <w:p w:rsidR="00B93DF0" w:rsidRDefault="00B93DF0" w:rsidP="004B16BE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0"/>
                <w:szCs w:val="10"/>
              </w:rPr>
            </w:pPr>
          </w:p>
          <w:p w:rsidR="00B93DF0" w:rsidRPr="00B93DF0" w:rsidRDefault="00B93DF0" w:rsidP="004B16BE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0"/>
                <w:szCs w:val="10"/>
              </w:rPr>
            </w:pPr>
          </w:p>
        </w:tc>
      </w:tr>
      <w:tr w:rsidR="0072536E" w:rsidRPr="004F2D3F" w:rsidTr="004D1E9E">
        <w:trPr>
          <w:trHeight w:val="73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襄阳铁路运输法院办案业务专项经费　</w:t>
            </w:r>
          </w:p>
        </w:tc>
      </w:tr>
      <w:tr w:rsidR="0072536E" w:rsidRPr="004F2D3F" w:rsidTr="004D1E9E">
        <w:trPr>
          <w:trHeight w:val="56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湖北省高级人民法院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项目实施单位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襄阳铁路运输法院</w:t>
            </w:r>
          </w:p>
        </w:tc>
      </w:tr>
      <w:tr w:rsidR="0072536E" w:rsidRPr="004F2D3F" w:rsidTr="004D1E9E">
        <w:trPr>
          <w:trHeight w:val="66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项目类别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ED17D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1、部门预算项目</w:t>
            </w:r>
            <w:r w:rsidR="00ED17D6"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√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□</w:t>
            </w:r>
            <w:r w:rsidR="00ED17D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2、省直专项□  3、省对下转移支付项□</w:t>
            </w:r>
          </w:p>
        </w:tc>
      </w:tr>
      <w:tr w:rsidR="0072536E" w:rsidRPr="004F2D3F" w:rsidTr="004D1E9E">
        <w:trPr>
          <w:trHeight w:val="66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项目属性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ED17D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1、持续性项目</w:t>
            </w:r>
            <w:r w:rsidR="00627E3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="00ED17D6"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√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□   2、新增性项目□ </w:t>
            </w:r>
          </w:p>
        </w:tc>
      </w:tr>
      <w:tr w:rsidR="0072536E" w:rsidRPr="004F2D3F" w:rsidTr="004D1E9E">
        <w:trPr>
          <w:trHeight w:val="66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项目类型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6E" w:rsidRPr="004F2D3F" w:rsidRDefault="0072536E" w:rsidP="00ED17D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1、常年性项目</w:t>
            </w:r>
            <w:r w:rsidR="00627E3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="00ED17D6"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√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□   2、延续性项目□</w:t>
            </w:r>
            <w:r w:rsidR="00ED17D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3、一次性项目□</w:t>
            </w:r>
          </w:p>
        </w:tc>
      </w:tr>
      <w:tr w:rsidR="004D1E9E" w:rsidRPr="004F2D3F" w:rsidTr="004D1E9E">
        <w:trPr>
          <w:trHeight w:val="72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预算执行情况（万元）</w:t>
            </w:r>
          </w:p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（20分）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预算数（A)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9E" w:rsidRPr="004D1E9E" w:rsidRDefault="004D1E9E" w:rsidP="004D1E9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1E9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执行数(B)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执行率(B/A)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得分（20分*执行率）</w:t>
            </w:r>
          </w:p>
        </w:tc>
      </w:tr>
      <w:tr w:rsidR="004D1E9E" w:rsidRPr="004F2D3F" w:rsidTr="004D1E9E">
        <w:trPr>
          <w:trHeight w:val="72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年度财政资金总额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324.4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9E" w:rsidRPr="004F2D3F" w:rsidRDefault="004D1E9E" w:rsidP="002C47E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297.14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91.60%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18.3</w:t>
            </w:r>
          </w:p>
        </w:tc>
      </w:tr>
      <w:tr w:rsidR="004D1E9E" w:rsidRPr="004F2D3F" w:rsidTr="004D1E9E">
        <w:trPr>
          <w:trHeight w:val="51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年度绩效目标1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年初目标值（A)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实际完成值(B)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得分</w:t>
            </w:r>
          </w:p>
        </w:tc>
      </w:tr>
      <w:tr w:rsidR="004D1E9E" w:rsidRPr="004F2D3F" w:rsidTr="004D1E9E">
        <w:trPr>
          <w:trHeight w:val="42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产出指标</w:t>
            </w:r>
          </w:p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（40分）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案件立案率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0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执行案件实际执结率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≥70%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65.85%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4.2</w:t>
            </w:r>
          </w:p>
        </w:tc>
      </w:tr>
      <w:tr w:rsidR="004D1E9E" w:rsidRPr="004F2D3F" w:rsidTr="004D1E9E">
        <w:trPr>
          <w:trHeight w:val="42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案件质量评查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≥95分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0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案件发回重审率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≤10%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2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案件结案率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94.03%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1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法定审限期内案件结案率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生效案件服判息诉率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91.53%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1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二审改判率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≤10%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4D1E9E" w:rsidRPr="004F2D3F" w:rsidTr="004D1E9E">
        <w:trPr>
          <w:trHeight w:val="40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案均办案成本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较上年度减少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减少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4D1E9E" w:rsidRPr="004F2D3F" w:rsidTr="004D1E9E">
        <w:trPr>
          <w:trHeight w:val="42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效益指标（40分）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保护当事人合法权益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4D1E9E" w:rsidRPr="004F2D3F" w:rsidTr="004D1E9E">
        <w:trPr>
          <w:trHeight w:val="41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民事案件调解率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≥60%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45.00%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7.5</w:t>
            </w:r>
          </w:p>
        </w:tc>
      </w:tr>
      <w:tr w:rsidR="004D1E9E" w:rsidRPr="004F2D3F" w:rsidTr="004D1E9E">
        <w:trPr>
          <w:trHeight w:val="4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裁判文书上网率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≥80%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4D1E9E" w:rsidRPr="004F2D3F" w:rsidTr="004D1E9E">
        <w:trPr>
          <w:trHeight w:val="4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网络信访回复率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4D1E9E" w:rsidRPr="004F2D3F" w:rsidTr="004D1E9E">
        <w:trPr>
          <w:trHeight w:val="41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95.5</w:t>
            </w:r>
          </w:p>
        </w:tc>
      </w:tr>
      <w:tr w:rsidR="004D1E9E" w:rsidRPr="004F2D3F" w:rsidTr="004D1E9E">
        <w:trPr>
          <w:trHeight w:val="36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偏差大或者目标未完成原因分析</w:t>
            </w:r>
          </w:p>
        </w:tc>
        <w:tc>
          <w:tcPr>
            <w:tcW w:w="73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办案业务经费执行率为91.6%，原因是受疫情影响，经费执行率一般；案件基数小，民事案件当事人调解意愿不强，指标值设置略微偏高，调解率较低；我院案件基数小，进一步解决执行难问题有待加强。</w:t>
            </w:r>
          </w:p>
        </w:tc>
      </w:tr>
      <w:tr w:rsidR="004D1E9E" w:rsidRPr="004F2D3F" w:rsidTr="004D1E9E">
        <w:trPr>
          <w:trHeight w:val="64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73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4D1E9E" w:rsidRPr="004F2D3F" w:rsidTr="004D1E9E">
        <w:trPr>
          <w:trHeight w:val="246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73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4D1E9E" w:rsidRPr="004F2D3F" w:rsidTr="004D1E9E">
        <w:trPr>
          <w:trHeight w:val="169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改进措施及结果应用方案</w:t>
            </w:r>
          </w:p>
        </w:tc>
        <w:tc>
          <w:tcPr>
            <w:tcW w:w="7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下一步我院将认真分析造成预算差异的原因，进一步健全和完善财务管理制度及内部控制制度，规范和约束机关理财行为和程序，积极探索在新形势下部门预算、国库集中支付等财政支出改革的特点，不断更新管理思路，在规范财务收支和控制经费增长上，创新管理手段，用新思路、新方法，改进完善财务管理方法。按照财政支出绩效管理的要求，建立科学的财政资金效益考评制度体系，牢固树立行政成本意识，不断提高财政资金使用管理的水平和效率。</w:t>
            </w:r>
          </w:p>
        </w:tc>
      </w:tr>
      <w:tr w:rsidR="004D1E9E" w:rsidRPr="004F2D3F" w:rsidTr="004D1E9E">
        <w:trPr>
          <w:trHeight w:val="630"/>
        </w:trPr>
        <w:tc>
          <w:tcPr>
            <w:tcW w:w="892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备注：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br/>
              <w:t>1.预算执行情况口径：预算数为调整后省级财政资金总额（包括上年结余结转），执行数为资金使用单位省级财政资金实际支出数。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br/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br/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 w:rsidRPr="004F2D3F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br/>
              <w:t>4.基于经济性和必要性等因素考虑，满意度指标暂可不作为必评指标。</w:t>
            </w:r>
          </w:p>
        </w:tc>
      </w:tr>
      <w:tr w:rsidR="004D1E9E" w:rsidRPr="004F2D3F" w:rsidTr="004D1E9E">
        <w:trPr>
          <w:trHeight w:val="638"/>
        </w:trPr>
        <w:tc>
          <w:tcPr>
            <w:tcW w:w="89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4D1E9E" w:rsidRPr="004F2D3F" w:rsidTr="004D1E9E">
        <w:trPr>
          <w:trHeight w:val="638"/>
        </w:trPr>
        <w:tc>
          <w:tcPr>
            <w:tcW w:w="89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4D1E9E" w:rsidRPr="004F2D3F" w:rsidTr="004D1E9E">
        <w:trPr>
          <w:trHeight w:val="1080"/>
        </w:trPr>
        <w:tc>
          <w:tcPr>
            <w:tcW w:w="89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4D1E9E" w:rsidRPr="004F2D3F" w:rsidTr="004D1E9E">
        <w:trPr>
          <w:trHeight w:val="315"/>
        </w:trPr>
        <w:tc>
          <w:tcPr>
            <w:tcW w:w="89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E9E" w:rsidRPr="004F2D3F" w:rsidRDefault="004D1E9E" w:rsidP="00A8342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</w:tbl>
    <w:p w:rsidR="002F65DC" w:rsidRPr="004F2D3F" w:rsidRDefault="002F65DC" w:rsidP="00D31D50">
      <w:pPr>
        <w:spacing w:line="220" w:lineRule="atLeast"/>
        <w:rPr>
          <w:rFonts w:asciiTheme="minorEastAsia" w:eastAsiaTheme="minorEastAsia" w:hAnsiTheme="minorEastAsia"/>
          <w:sz w:val="18"/>
          <w:szCs w:val="18"/>
        </w:rPr>
      </w:pPr>
    </w:p>
    <w:sectPr w:rsidR="002F65DC" w:rsidRPr="004F2D3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335" w:rsidRDefault="00BF3335" w:rsidP="006163C7">
      <w:pPr>
        <w:spacing w:after="0"/>
      </w:pPr>
      <w:r>
        <w:separator/>
      </w:r>
    </w:p>
  </w:endnote>
  <w:endnote w:type="continuationSeparator" w:id="1">
    <w:p w:rsidR="00BF3335" w:rsidRDefault="00BF3335" w:rsidP="006163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335" w:rsidRDefault="00BF3335" w:rsidP="006163C7">
      <w:pPr>
        <w:spacing w:after="0"/>
      </w:pPr>
      <w:r>
        <w:separator/>
      </w:r>
    </w:p>
  </w:footnote>
  <w:footnote w:type="continuationSeparator" w:id="1">
    <w:p w:rsidR="00BF3335" w:rsidRDefault="00BF3335" w:rsidP="006163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2D0"/>
    <w:rsid w:val="0015656C"/>
    <w:rsid w:val="002F65DC"/>
    <w:rsid w:val="00323B43"/>
    <w:rsid w:val="003836C8"/>
    <w:rsid w:val="003D187C"/>
    <w:rsid w:val="003D37D8"/>
    <w:rsid w:val="00426133"/>
    <w:rsid w:val="004358AB"/>
    <w:rsid w:val="00473A06"/>
    <w:rsid w:val="004A7C2C"/>
    <w:rsid w:val="004B16BE"/>
    <w:rsid w:val="004D1E9E"/>
    <w:rsid w:val="004F2D3F"/>
    <w:rsid w:val="00555382"/>
    <w:rsid w:val="00604A1E"/>
    <w:rsid w:val="006163C7"/>
    <w:rsid w:val="00627E32"/>
    <w:rsid w:val="0072536E"/>
    <w:rsid w:val="008244CB"/>
    <w:rsid w:val="008B7726"/>
    <w:rsid w:val="00A35512"/>
    <w:rsid w:val="00A46CD0"/>
    <w:rsid w:val="00AB7CDB"/>
    <w:rsid w:val="00B422C3"/>
    <w:rsid w:val="00B93DF0"/>
    <w:rsid w:val="00BF3335"/>
    <w:rsid w:val="00C11B93"/>
    <w:rsid w:val="00D06AFD"/>
    <w:rsid w:val="00D31D50"/>
    <w:rsid w:val="00D63052"/>
    <w:rsid w:val="00E56B8A"/>
    <w:rsid w:val="00E7652C"/>
    <w:rsid w:val="00ED17D6"/>
    <w:rsid w:val="00FC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3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3C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3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3C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19</cp:revision>
  <cp:lastPrinted>2022-09-06T08:31:00Z</cp:lastPrinted>
  <dcterms:created xsi:type="dcterms:W3CDTF">2008-09-11T17:20:00Z</dcterms:created>
  <dcterms:modified xsi:type="dcterms:W3CDTF">2022-09-06T11:01:00Z</dcterms:modified>
</cp:coreProperties>
</file>